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rFonts w:ascii="微软雅黑" w:hAnsi="微软雅黑" w:eastAsia="微软雅黑" w:cs="宋体"/>
          <w:color w:val="333333"/>
          <w:kern w:val="0"/>
          <w:sz w:val="35"/>
          <w:szCs w:val="35"/>
        </w:rPr>
      </w:pPr>
      <w:bookmarkStart w:id="0" w:name="_GoBack"/>
      <w:bookmarkEnd w:id="0"/>
      <w:r>
        <w:rPr>
          <w:rFonts w:hint="eastAsia" w:ascii="微软雅黑" w:hAnsi="微软雅黑" w:eastAsia="微软雅黑" w:cs="宋体"/>
          <w:color w:val="333333"/>
          <w:kern w:val="0"/>
          <w:sz w:val="35"/>
          <w:szCs w:val="35"/>
        </w:rPr>
        <w:t>衢州市衢江区人民法院诉讼费收费目录</w:t>
      </w:r>
    </w:p>
    <w:p>
      <w:pPr>
        <w:widowControl/>
        <w:shd w:val="clear" w:color="auto" w:fill="FFFFFF"/>
        <w:jc w:val="center"/>
        <w:rPr>
          <w:rFonts w:ascii="微软雅黑" w:hAnsi="微软雅黑" w:eastAsia="微软雅黑" w:cs="宋体"/>
          <w:color w:val="333333"/>
          <w:kern w:val="0"/>
          <w:sz w:val="22"/>
          <w:szCs w:val="35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2"/>
          <w:szCs w:val="35"/>
        </w:rPr>
        <w:t>执收单位：衢州市衢江区人民法院      单位负责人：周晓清</w:t>
      </w:r>
    </w:p>
    <w:p>
      <w:pPr>
        <w:widowControl/>
        <w:shd w:val="clear" w:color="auto" w:fill="FFFFFF"/>
        <w:jc w:val="center"/>
        <w:rPr>
          <w:rFonts w:ascii="微软雅黑" w:hAnsi="微软雅黑" w:eastAsia="微软雅黑" w:cs="宋体"/>
          <w:color w:val="333333"/>
          <w:kern w:val="0"/>
          <w:sz w:val="22"/>
          <w:szCs w:val="35"/>
        </w:rPr>
      </w:pPr>
      <w:r>
        <w:rPr>
          <w:rStyle w:val="9"/>
          <w:rFonts w:hint="eastAsia"/>
          <w:color w:val="3D3D3D"/>
          <w:sz w:val="26"/>
          <w:szCs w:val="26"/>
          <w:shd w:val="clear" w:color="auto" w:fill="FFFFFF"/>
        </w:rPr>
        <w:t>地　</w:t>
      </w:r>
      <w:r>
        <w:rPr>
          <w:rFonts w:hint="eastAsia"/>
          <w:color w:val="3D3D3D"/>
          <w:sz w:val="26"/>
          <w:szCs w:val="26"/>
          <w:shd w:val="clear" w:color="auto" w:fill="FFFFFF"/>
        </w:rPr>
        <w:t>  址：</w:t>
      </w:r>
      <w:r>
        <w:rPr>
          <w:rStyle w:val="9"/>
          <w:rFonts w:hint="eastAsia"/>
          <w:color w:val="3D3D3D"/>
          <w:sz w:val="26"/>
          <w:szCs w:val="26"/>
          <w:shd w:val="clear" w:color="auto" w:fill="FFFFFF"/>
        </w:rPr>
        <w:t>衢江区信安东路41号</w:t>
      </w:r>
      <w:r>
        <w:rPr>
          <w:rFonts w:hint="eastAsia"/>
          <w:color w:val="3D3D3D"/>
          <w:sz w:val="26"/>
          <w:szCs w:val="26"/>
          <w:shd w:val="clear" w:color="auto" w:fill="FFFFFF"/>
        </w:rPr>
        <w:t> 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4"/>
        <w:gridCol w:w="6346"/>
        <w:gridCol w:w="2694"/>
        <w:gridCol w:w="212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22"/>
                <w:szCs w:val="35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2"/>
                <w:szCs w:val="35"/>
              </w:rPr>
              <w:t>收费项目</w:t>
            </w:r>
          </w:p>
        </w:tc>
        <w:tc>
          <w:tcPr>
            <w:tcW w:w="6346" w:type="dxa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22"/>
                <w:szCs w:val="35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2"/>
                <w:szCs w:val="35"/>
              </w:rPr>
              <w:t>收费标准</w:t>
            </w:r>
          </w:p>
        </w:tc>
        <w:tc>
          <w:tcPr>
            <w:tcW w:w="2694" w:type="dxa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22"/>
                <w:szCs w:val="35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2"/>
                <w:szCs w:val="35"/>
              </w:rPr>
              <w:t>批准文号</w:t>
            </w:r>
          </w:p>
        </w:tc>
        <w:tc>
          <w:tcPr>
            <w:tcW w:w="2126" w:type="dxa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22"/>
                <w:szCs w:val="35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2"/>
                <w:szCs w:val="35"/>
              </w:rPr>
              <w:t>备注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22"/>
                <w:szCs w:val="35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2"/>
                <w:szCs w:val="35"/>
              </w:rPr>
              <w:t>案件受理费</w:t>
            </w:r>
          </w:p>
        </w:tc>
        <w:tc>
          <w:tcPr>
            <w:tcW w:w="6346" w:type="dxa"/>
          </w:tcPr>
          <w:p>
            <w:pPr>
              <w:widowControl/>
              <w:shd w:val="clear" w:color="auto" w:fill="FFFFFF"/>
              <w:spacing w:line="400" w:lineRule="exac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0"/>
                <w:szCs w:val="20"/>
              </w:rPr>
              <w:t>（1）财产案件：</w:t>
            </w:r>
            <w:r>
              <w:rPr>
                <w:rFonts w:hint="eastAsia" w:ascii="微软雅黑" w:hAnsi="微软雅黑" w:eastAsia="微软雅黑" w:cs="宋体"/>
                <w:kern w:val="0"/>
                <w:sz w:val="20"/>
                <w:szCs w:val="20"/>
              </w:rPr>
              <w:t>不超过1万元的，每件交纳50元；超过1万元至10万元的部分，按照2.5%交纳；超过10万元至20万元的部分，按照2%交纳；超过20万元至50万元的部分，按照1.5%交纳；超过50万元至100万元的部分，按照1%交纳；超过100万元至200万元的部分，按照0.9%交纳；超过200万元至500万元的部分，按照0.8%交纳；超过500万元至1000万元的部分，按照0.7%交纳；超过1000万元至2000万元的部分，按照0.6%交纳；超过2000万元的部分，按照0.5%交纳。</w:t>
            </w:r>
          </w:p>
          <w:p>
            <w:pPr>
              <w:widowControl/>
              <w:shd w:val="clear" w:color="auto" w:fill="FFFFFF"/>
              <w:spacing w:line="400" w:lineRule="exact"/>
              <w:jc w:val="lef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0"/>
                <w:szCs w:val="20"/>
              </w:rPr>
              <w:t>（2）非财产案件：①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离婚案件。每件交纳50元至300元。涉及财产分割，财产总额不超过20万元的，不另行交纳；超过20万元的部分，按照0.5%交纳；</w:t>
            </w:r>
          </w:p>
          <w:p>
            <w:pPr>
              <w:widowControl/>
              <w:shd w:val="clear" w:color="auto" w:fill="FFFFFF"/>
              <w:spacing w:line="400" w:lineRule="exact"/>
              <w:jc w:val="lef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②侵害姓名权、名称权、肖像权、名誉权、荣誉权以及其他人格权的案件。每件交纳100元至500元。涉及损害赔偿，赔偿金额不超过5万元的，不另行交纳；超过5万元至10万元的部分，按照1%交纳；超过10万元的部分，按照0.5%交纳。</w:t>
            </w:r>
          </w:p>
          <w:p>
            <w:pPr>
              <w:widowControl/>
              <w:shd w:val="clear" w:color="auto" w:fill="FFFFFF"/>
              <w:spacing w:line="400" w:lineRule="exact"/>
              <w:jc w:val="lef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③其他非财产案件。每件交纳50元至100元。</w:t>
            </w:r>
          </w:p>
          <w:p>
            <w:pPr>
              <w:widowControl/>
              <w:shd w:val="clear" w:color="auto" w:fill="FFFFFF"/>
              <w:spacing w:line="400" w:lineRule="exac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0"/>
                <w:szCs w:val="20"/>
              </w:rPr>
              <w:t>（3）其他案件：</w:t>
            </w:r>
          </w:p>
          <w:p>
            <w:pPr>
              <w:widowControl/>
              <w:shd w:val="clear" w:color="auto" w:fill="FFFFFF"/>
              <w:spacing w:line="400" w:lineRule="exact"/>
              <w:jc w:val="lef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①知识产权案件。没有争议金额或者价额的，每件交纳500元至1000元；有争议金额或者价额的，按照财产案件的标准交纳。</w:t>
            </w:r>
          </w:p>
          <w:p>
            <w:pPr>
              <w:widowControl/>
              <w:shd w:val="clear" w:color="auto" w:fill="FFFFFF"/>
              <w:spacing w:line="400" w:lineRule="exact"/>
              <w:jc w:val="lef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②劳动争议案件。每件交纳10元。</w:t>
            </w:r>
          </w:p>
          <w:p>
            <w:pPr>
              <w:widowControl/>
              <w:shd w:val="clear" w:color="auto" w:fill="FFFFFF"/>
              <w:spacing w:line="400" w:lineRule="exact"/>
              <w:jc w:val="lef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③管辖权异议。当事人提出案件管辖权异议，异议不成立的，每件交纳50元至100元。</w:t>
            </w:r>
          </w:p>
          <w:p>
            <w:pPr>
              <w:widowControl/>
              <w:shd w:val="clear" w:color="auto" w:fill="FFFFFF"/>
              <w:spacing w:line="400" w:lineRule="exac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④案件受理费交纳的特别规定。《</w:t>
            </w:r>
            <w:r>
              <w:fldChar w:fldCharType="begin"/>
            </w:r>
            <w:r>
              <w:instrText xml:space="preserve"> HYPERLINK "javascript:void(0);" </w:instrText>
            </w:r>
            <w:r>
              <w:fldChar w:fldCharType="separate"/>
            </w:r>
            <w:r>
              <w:rPr>
                <w:rFonts w:hint="eastAsia" w:ascii="微软雅黑" w:hAnsi="微软雅黑" w:eastAsia="微软雅黑" w:cs="宋体"/>
                <w:kern w:val="0"/>
              </w:rPr>
              <w:t>诉讼费用交纳办法</w:t>
            </w:r>
            <w:r>
              <w:rPr>
                <w:rFonts w:hint="eastAsia" w:ascii="微软雅黑" w:hAnsi="微软雅黑" w:eastAsia="微软雅黑" w:cs="宋体"/>
                <w:kern w:val="0"/>
              </w:rPr>
              <w:fldChar w:fldCharType="end"/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》针对下列情形，规定了减半交纳案件受理费：以调解方式结案或者当事人申请撤诉的；适用简易程序审理的案件；被告提起反诉、有独立请求权的第三人提出与本案有关的诉讼请求，人民法院决定合并审理的。</w:t>
            </w:r>
          </w:p>
          <w:p>
            <w:pPr>
              <w:widowControl/>
              <w:spacing w:line="400" w:lineRule="exact"/>
              <w:ind w:firstLine="440" w:firstLineChars="200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22"/>
                <w:szCs w:val="35"/>
              </w:rPr>
            </w:pPr>
          </w:p>
        </w:tc>
        <w:tc>
          <w:tcPr>
            <w:tcW w:w="2694" w:type="dxa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22"/>
                <w:szCs w:val="35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2"/>
                <w:szCs w:val="35"/>
              </w:rPr>
              <w:t>《诉讼费用交纳方法》</w:t>
            </w:r>
          </w:p>
          <w:p>
            <w:pPr>
              <w:widowControl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22"/>
                <w:szCs w:val="35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2"/>
                <w:szCs w:val="35"/>
              </w:rPr>
              <w:t>（国务院令第481号）</w:t>
            </w:r>
          </w:p>
          <w:p>
            <w:pPr>
              <w:widowControl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22"/>
                <w:szCs w:val="35"/>
              </w:rPr>
            </w:pPr>
          </w:p>
          <w:p>
            <w:pPr>
              <w:widowControl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22"/>
                <w:szCs w:val="35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2"/>
                <w:szCs w:val="35"/>
              </w:rPr>
              <w:t>浙价费【2007】153号</w:t>
            </w:r>
          </w:p>
        </w:tc>
        <w:tc>
          <w:tcPr>
            <w:tcW w:w="2126" w:type="dxa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22"/>
                <w:szCs w:val="35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4" w:type="dxa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22"/>
                <w:szCs w:val="35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申请费</w:t>
            </w:r>
          </w:p>
        </w:tc>
        <w:tc>
          <w:tcPr>
            <w:tcW w:w="6346" w:type="dxa"/>
          </w:tcPr>
          <w:p>
            <w:pPr>
              <w:widowControl/>
              <w:shd w:val="clear" w:color="auto" w:fill="FFFFFF"/>
              <w:spacing w:line="400" w:lineRule="exact"/>
              <w:jc w:val="lef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(1)申请执行的案件</w:t>
            </w:r>
          </w:p>
          <w:p>
            <w:pPr>
              <w:widowControl/>
              <w:shd w:val="clear" w:color="auto" w:fill="FFFFFF"/>
              <w:spacing w:line="400" w:lineRule="exact"/>
              <w:jc w:val="lef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①没有执行金额或价额的，每件交纳50元至500元。</w:t>
            </w:r>
          </w:p>
          <w:p>
            <w:pPr>
              <w:widowControl/>
              <w:shd w:val="clear" w:color="auto" w:fill="FFFFFF"/>
              <w:spacing w:line="400" w:lineRule="exact"/>
              <w:jc w:val="lef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②有执行金额或价额的，执行金额或者价额不超过1万元的，每件交纳50元；超过1万元至50万元的部分，按照1.5%交纳；超过50万元至500万元的部分，按照1%交纳；超过500万元至1000万元的部分，按照0.5%交纳；超过1000万元的部分，按照0.1%交纳。</w:t>
            </w:r>
          </w:p>
          <w:p>
            <w:pPr>
              <w:widowControl/>
              <w:shd w:val="clear" w:color="auto" w:fill="FFFFFF"/>
              <w:spacing w:line="400" w:lineRule="exact"/>
              <w:jc w:val="lef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(2)申请保全措施的，根据实际保全的财产数额按照下列标准交纳：财产数额不超过1000元或者不涉及财产数额的，每件交纳30元；超过1000元至10万元的部分，按照1%交纳；超过10万元的部分，按照0.5%交纳。但是，当事人申请保全措施交纳的费用最多不超过5000元。</w:t>
            </w:r>
          </w:p>
          <w:p>
            <w:pPr>
              <w:widowControl/>
              <w:shd w:val="clear" w:color="auto" w:fill="FFFFFF"/>
              <w:spacing w:line="400" w:lineRule="exact"/>
              <w:jc w:val="lef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(3)申请支付令的，比照财产案件受理费标准的1/3交纳。</w:t>
            </w:r>
          </w:p>
          <w:p>
            <w:pPr>
              <w:widowControl/>
              <w:shd w:val="clear" w:color="auto" w:fill="FFFFFF"/>
              <w:spacing w:line="400" w:lineRule="exact"/>
              <w:jc w:val="lef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(4)申请公示催告的，每件交纳100元。</w:t>
            </w:r>
          </w:p>
          <w:p>
            <w:pPr>
              <w:widowControl/>
              <w:shd w:val="clear" w:color="auto" w:fill="FFFFFF"/>
              <w:spacing w:line="400" w:lineRule="exact"/>
              <w:jc w:val="lef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(5)申请撤销仲裁裁决或者认定仲裁协议效力的，每件交纳400元。</w:t>
            </w:r>
          </w:p>
          <w:p>
            <w:pPr>
              <w:widowControl/>
              <w:shd w:val="clear" w:color="auto" w:fill="FFFFFF"/>
              <w:spacing w:line="400" w:lineRule="exact"/>
              <w:jc w:val="lef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(6)申请破产的，破产案件依据破产财产总额计算，按照财产案件受理费标准减半交纳，但是，最高不超过30万元。</w:t>
            </w:r>
          </w:p>
          <w:p>
            <w:pPr>
              <w:widowControl/>
              <w:spacing w:line="400" w:lineRule="exact"/>
              <w:rPr>
                <w:rFonts w:ascii="微软雅黑" w:hAnsi="微软雅黑" w:eastAsia="微软雅黑" w:cs="宋体"/>
                <w:color w:val="333333"/>
                <w:kern w:val="0"/>
                <w:sz w:val="22"/>
                <w:szCs w:val="35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(7)海事海商案件：①申请设立海事赔偿责任限制基金的，每件交纳1000元至1万元；②申请海事强制令的，每件交纳1000元至5000元；③申请船舶优先权催告的，每件交纳1000元至5000元；④申请海事债权登记的，每件交纳1000元；⑤申请共同海损理算的，每件交纳1000元。</w:t>
            </w:r>
          </w:p>
        </w:tc>
        <w:tc>
          <w:tcPr>
            <w:tcW w:w="2694" w:type="dxa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22"/>
                <w:szCs w:val="35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2"/>
                <w:szCs w:val="35"/>
              </w:rPr>
              <w:t>《诉讼费用交纳方法》</w:t>
            </w:r>
          </w:p>
          <w:p>
            <w:pPr>
              <w:widowControl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22"/>
                <w:szCs w:val="35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2"/>
                <w:szCs w:val="35"/>
              </w:rPr>
              <w:t>（国务院令第481号）</w:t>
            </w:r>
          </w:p>
          <w:p>
            <w:pPr>
              <w:widowControl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22"/>
                <w:szCs w:val="35"/>
              </w:rPr>
            </w:pPr>
          </w:p>
          <w:p>
            <w:pPr>
              <w:widowControl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22"/>
                <w:szCs w:val="35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2"/>
                <w:szCs w:val="35"/>
              </w:rPr>
              <w:t>浙价费【2007】153号</w:t>
            </w:r>
          </w:p>
        </w:tc>
        <w:tc>
          <w:tcPr>
            <w:tcW w:w="2126" w:type="dxa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22"/>
                <w:szCs w:val="35"/>
              </w:rPr>
            </w:pPr>
          </w:p>
        </w:tc>
      </w:tr>
    </w:tbl>
    <w:p>
      <w:pPr>
        <w:widowControl/>
        <w:shd w:val="clear" w:color="auto" w:fill="FFFFFF"/>
        <w:jc w:val="center"/>
        <w:rPr>
          <w:rFonts w:ascii="微软雅黑" w:hAnsi="微软雅黑" w:eastAsia="微软雅黑" w:cs="宋体"/>
          <w:color w:val="333333"/>
          <w:kern w:val="0"/>
          <w:sz w:val="22"/>
          <w:szCs w:val="35"/>
        </w:rPr>
      </w:pPr>
    </w:p>
    <w:p>
      <w:pPr>
        <w:widowControl/>
        <w:shd w:val="clear" w:color="auto" w:fill="FFFFFF"/>
        <w:jc w:val="center"/>
        <w:rPr>
          <w:rFonts w:ascii="微软雅黑" w:hAnsi="微软雅黑" w:eastAsia="微软雅黑" w:cs="宋体"/>
          <w:color w:val="333333"/>
          <w:kern w:val="0"/>
          <w:sz w:val="35"/>
          <w:szCs w:val="35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CAE"/>
    <w:rsid w:val="00035CAE"/>
    <w:rsid w:val="000E3F77"/>
    <w:rsid w:val="00272012"/>
    <w:rsid w:val="002A05F2"/>
    <w:rsid w:val="00390C70"/>
    <w:rsid w:val="00496E7B"/>
    <w:rsid w:val="004F2254"/>
    <w:rsid w:val="00543C3C"/>
    <w:rsid w:val="0065399D"/>
    <w:rsid w:val="00696BCE"/>
    <w:rsid w:val="006F4160"/>
    <w:rsid w:val="00867313"/>
    <w:rsid w:val="00882F4B"/>
    <w:rsid w:val="009F398A"/>
    <w:rsid w:val="00A81E14"/>
    <w:rsid w:val="00BD69D8"/>
    <w:rsid w:val="00BF09FA"/>
    <w:rsid w:val="00C92AFE"/>
    <w:rsid w:val="00E27709"/>
    <w:rsid w:val="00EC72DA"/>
    <w:rsid w:val="BDF65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text-tag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221</Words>
  <Characters>1266</Characters>
  <Lines>10</Lines>
  <Paragraphs>2</Paragraphs>
  <TotalTime>32</TotalTime>
  <ScaleCrop>false</ScaleCrop>
  <LinksUpToDate>false</LinksUpToDate>
  <CharactersWithSpaces>1485</CharactersWithSpaces>
  <Application>WPS Office_12.8.2.1112_F1E327BC-269C-435d-A152-05C5408002CA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2022-07-05T15:52:00Z</dcterms:created>
  <dc:creator>Administrator</dc:creator>
  <cp:lastModifiedBy>admin</cp:lastModifiedBy>
  <dcterms:modified xsi:type="dcterms:W3CDTF">2025-04-25T08:49:26Z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2052-12.8.2.1112</vt:lpwstr>
  </property>
  <property fmtid="{D5CDD505-2E9C-101B-9397-08002B2CF9AE}" pid="3" name="ICV">
    <vt:lpwstr>7E82C1054FA8735217DC0A686773D918_43</vt:lpwstr>
  </property>
</Properties>
</file>