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48BA7">
      <w:pPr>
        <w:pStyle w:val="5"/>
        <w:keepNext/>
        <w:keepLines/>
        <w:pageBreakBefore w:val="0"/>
        <w:widowControl w:val="0"/>
        <w:numPr>
          <w:ilvl w:val="0"/>
          <w:numId w:val="0"/>
        </w:numPr>
        <w:kinsoku/>
        <w:wordWrap/>
        <w:overflowPunct/>
        <w:topLinePunct w:val="0"/>
        <w:autoSpaceDE/>
        <w:autoSpaceDN/>
        <w:bidi w:val="0"/>
        <w:adjustRightInd/>
        <w:snapToGrid/>
        <w:spacing w:before="0" w:after="157" w:afterLines="50" w:line="360" w:lineRule="auto"/>
        <w:jc w:val="center"/>
        <w:textAlignment w:val="auto"/>
        <w:rPr>
          <w:rFonts w:hint="eastAsia"/>
          <w:color w:val="auto"/>
          <w:sz w:val="32"/>
          <w:szCs w:val="32"/>
          <w:highlight w:val="none"/>
        </w:rPr>
      </w:pPr>
      <w:r>
        <w:rPr>
          <w:rFonts w:hint="eastAsia"/>
          <w:color w:val="auto"/>
          <w:sz w:val="32"/>
          <w:szCs w:val="32"/>
          <w:highlight w:val="none"/>
          <w:lang w:val="en-US" w:eastAsia="zh-CN"/>
        </w:rPr>
        <w:t>关于衢州市衢江区人民法院2025年执行款及调解款专户竞争性存放项目的</w:t>
      </w:r>
      <w:r>
        <w:rPr>
          <w:rFonts w:hint="eastAsia"/>
          <w:color w:val="auto"/>
          <w:sz w:val="32"/>
          <w:szCs w:val="32"/>
          <w:highlight w:val="none"/>
        </w:rPr>
        <w:t>招标公告</w:t>
      </w:r>
    </w:p>
    <w:p w14:paraId="2B3F906E">
      <w:pPr>
        <w:pStyle w:val="7"/>
        <w:keepNext w:val="0"/>
        <w:keepLines w:val="0"/>
        <w:pageBreakBefore w:val="0"/>
        <w:shd w:val="clear" w:color="auto" w:fill="FFFFFF"/>
        <w:kinsoku/>
        <w:wordWrap/>
        <w:overflowPunct/>
        <w:topLinePunct w:val="0"/>
        <w:autoSpaceDE/>
        <w:autoSpaceDN/>
        <w:bidi w:val="0"/>
        <w:adjustRightInd/>
        <w:spacing w:line="360" w:lineRule="auto"/>
        <w:ind w:left="0" w:firstLine="480" w:firstLineChars="200"/>
        <w:textAlignment w:val="auto"/>
        <w:rPr>
          <w:rFonts w:hint="eastAsia"/>
          <w:color w:val="auto"/>
          <w:highlight w:val="none"/>
        </w:rPr>
      </w:pPr>
      <w:r>
        <w:rPr>
          <w:rFonts w:hint="eastAsia"/>
          <w:color w:val="auto"/>
          <w:highlight w:val="none"/>
        </w:rPr>
        <w:t xml:space="preserve">  根据《关于防止领导干部在公款存放方面发生利益冲突和利益输送的办法》（浙政办发〔2015〕8号）、《浙江省财政厅关于印发浙江省财政专户资金存放管理实施办法的通知》（浙财预执〔2017〕86号）、《衢江区区级财政专户资金存放管理实施办法》（衢江政办发〔2020〕48号）、《衢江区区级行政事业单位公款竞争性存放管理办法的通知》（衢江区政办发〔2021〕20号）等规定，衢州广泽商务秘书有限责任公司受衢州市衢江区人民法院委托，就</w:t>
      </w:r>
      <w:r>
        <w:rPr>
          <w:rFonts w:hint="eastAsia"/>
          <w:color w:val="auto"/>
          <w:highlight w:val="none"/>
          <w:lang w:eastAsia="zh-CN"/>
        </w:rPr>
        <w:t>衢州市衢江区人民法院2025年执行款及调解款专户竞争性存放</w:t>
      </w:r>
      <w:r>
        <w:rPr>
          <w:rFonts w:hint="eastAsia"/>
          <w:color w:val="auto"/>
          <w:highlight w:val="none"/>
        </w:rPr>
        <w:t>项目进行公开招标，欢迎符合条件的银行机构前来投标。</w:t>
      </w:r>
      <w:bookmarkStart w:id="0" w:name="_GoBack"/>
      <w:bookmarkEnd w:id="0"/>
    </w:p>
    <w:p w14:paraId="24F37AFD">
      <w:pPr>
        <w:pStyle w:val="7"/>
        <w:keepNext w:val="0"/>
        <w:keepLines w:val="0"/>
        <w:pageBreakBefore w:val="0"/>
        <w:shd w:val="clear" w:color="auto" w:fill="FFFFFF"/>
        <w:kinsoku/>
        <w:wordWrap/>
        <w:overflowPunct/>
        <w:topLinePunct w:val="0"/>
        <w:autoSpaceDE/>
        <w:autoSpaceDN/>
        <w:bidi w:val="0"/>
        <w:adjustRightInd/>
        <w:spacing w:line="360" w:lineRule="auto"/>
        <w:ind w:left="0" w:leftChars="0" w:firstLine="482" w:firstLineChars="200"/>
        <w:textAlignment w:val="auto"/>
        <w:rPr>
          <w:rFonts w:hint="eastAsia" w:hAnsi="宋体" w:cs="宋体"/>
          <w:color w:val="auto"/>
          <w:kern w:val="0"/>
          <w:sz w:val="24"/>
          <w:szCs w:val="24"/>
          <w:highlight w:val="none"/>
        </w:rPr>
      </w:pPr>
      <w:r>
        <w:rPr>
          <w:rFonts w:hint="eastAsia"/>
          <w:b/>
          <w:color w:val="auto"/>
          <w:sz w:val="24"/>
          <w:highlight w:val="none"/>
          <w:lang w:val="en-US" w:eastAsia="zh-CN"/>
        </w:rPr>
        <w:t>一、</w:t>
      </w:r>
      <w:r>
        <w:rPr>
          <w:rFonts w:hint="eastAsia"/>
          <w:b/>
          <w:color w:val="auto"/>
          <w:sz w:val="24"/>
          <w:highlight w:val="none"/>
        </w:rPr>
        <w:t>招标人名称：</w:t>
      </w:r>
      <w:r>
        <w:rPr>
          <w:rFonts w:hint="eastAsia" w:hAnsi="宋体" w:cs="宋体"/>
          <w:color w:val="auto"/>
          <w:kern w:val="0"/>
          <w:sz w:val="24"/>
          <w:szCs w:val="24"/>
          <w:highlight w:val="none"/>
          <w:lang w:eastAsia="zh-CN"/>
        </w:rPr>
        <w:t>衢州市衢江区人民法院</w:t>
      </w:r>
    </w:p>
    <w:p w14:paraId="520A029E">
      <w:pPr>
        <w:pStyle w:val="6"/>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482" w:firstLineChars="200"/>
        <w:textAlignment w:val="auto"/>
        <w:rPr>
          <w:rFonts w:hint="eastAsia" w:hAnsi="宋体" w:cs="宋体"/>
          <w:color w:val="auto"/>
          <w:kern w:val="0"/>
          <w:sz w:val="24"/>
          <w:szCs w:val="24"/>
          <w:highlight w:val="none"/>
          <w:lang w:eastAsia="zh-CN"/>
        </w:rPr>
      </w:pPr>
      <w:r>
        <w:rPr>
          <w:rFonts w:hint="eastAsia"/>
          <w:b/>
          <w:color w:val="auto"/>
          <w:sz w:val="24"/>
          <w:highlight w:val="none"/>
          <w:lang w:val="en-US" w:eastAsia="zh-CN"/>
        </w:rPr>
        <w:t>二、</w:t>
      </w:r>
      <w:r>
        <w:rPr>
          <w:b/>
          <w:color w:val="auto"/>
          <w:sz w:val="24"/>
          <w:highlight w:val="none"/>
        </w:rPr>
        <w:t>项目</w:t>
      </w:r>
      <w:r>
        <w:rPr>
          <w:rFonts w:hint="eastAsia"/>
          <w:b/>
          <w:color w:val="auto"/>
          <w:sz w:val="24"/>
          <w:highlight w:val="none"/>
        </w:rPr>
        <w:t>名称：</w:t>
      </w:r>
      <w:r>
        <w:rPr>
          <w:rFonts w:hint="eastAsia" w:hAnsi="宋体" w:cs="宋体"/>
          <w:color w:val="auto"/>
          <w:kern w:val="0"/>
          <w:sz w:val="24"/>
          <w:szCs w:val="24"/>
          <w:highlight w:val="none"/>
          <w:lang w:eastAsia="zh-CN"/>
        </w:rPr>
        <w:t>衢州市衢江区人民法院2025年执行款及调解款专户竞争性存放项目</w:t>
      </w:r>
    </w:p>
    <w:p w14:paraId="509576DE">
      <w:pPr>
        <w:pStyle w:val="6"/>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482" w:firstLineChars="200"/>
        <w:textAlignment w:val="auto"/>
        <w:rPr>
          <w:rFonts w:hint="eastAsia"/>
          <w:color w:val="auto"/>
          <w:sz w:val="24"/>
          <w:highlight w:val="none"/>
        </w:rPr>
      </w:pPr>
      <w:r>
        <w:rPr>
          <w:rFonts w:hint="eastAsia"/>
          <w:b/>
          <w:color w:val="auto"/>
          <w:sz w:val="24"/>
          <w:highlight w:val="none"/>
        </w:rPr>
        <w:t>三、项目</w:t>
      </w:r>
      <w:r>
        <w:rPr>
          <w:b/>
          <w:color w:val="auto"/>
          <w:sz w:val="24"/>
          <w:highlight w:val="none"/>
        </w:rPr>
        <w:t>编号</w:t>
      </w:r>
      <w:r>
        <w:rPr>
          <w:color w:val="auto"/>
          <w:sz w:val="24"/>
          <w:highlight w:val="none"/>
        </w:rPr>
        <w:t>：</w:t>
      </w:r>
      <w:r>
        <w:rPr>
          <w:rFonts w:hint="eastAsia"/>
          <w:color w:val="auto"/>
          <w:sz w:val="24"/>
          <w:highlight w:val="none"/>
          <w:lang w:eastAsia="zh-CN"/>
        </w:rPr>
        <w:t>QZGZ2024032-GK</w:t>
      </w:r>
      <w:r>
        <w:rPr>
          <w:rFonts w:hint="eastAsia"/>
          <w:color w:val="auto"/>
          <w:sz w:val="24"/>
          <w:highlight w:val="none"/>
        </w:rPr>
        <w:t xml:space="preserve"> </w:t>
      </w:r>
    </w:p>
    <w:p w14:paraId="657C2F6E">
      <w:pPr>
        <w:pStyle w:val="6"/>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482" w:firstLineChars="200"/>
        <w:textAlignment w:val="auto"/>
        <w:rPr>
          <w:b/>
          <w:color w:val="auto"/>
          <w:sz w:val="24"/>
          <w:highlight w:val="none"/>
        </w:rPr>
      </w:pPr>
      <w:r>
        <w:rPr>
          <w:rFonts w:hint="eastAsia"/>
          <w:b/>
          <w:color w:val="auto"/>
          <w:sz w:val="24"/>
          <w:highlight w:val="none"/>
        </w:rPr>
        <w:t>四</w:t>
      </w:r>
      <w:r>
        <w:rPr>
          <w:b/>
          <w:color w:val="auto"/>
          <w:sz w:val="24"/>
          <w:highlight w:val="none"/>
        </w:rPr>
        <w:t>、</w:t>
      </w:r>
      <w:r>
        <w:rPr>
          <w:rFonts w:hint="eastAsia"/>
          <w:b/>
          <w:color w:val="auto"/>
          <w:sz w:val="24"/>
          <w:highlight w:val="none"/>
        </w:rPr>
        <w:t>招标</w:t>
      </w:r>
      <w:r>
        <w:rPr>
          <w:b/>
          <w:color w:val="auto"/>
          <w:sz w:val="24"/>
          <w:highlight w:val="none"/>
        </w:rPr>
        <w:t>项目内容</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3270"/>
        <w:gridCol w:w="1600"/>
        <w:gridCol w:w="1808"/>
        <w:gridCol w:w="1808"/>
      </w:tblGrid>
      <w:tr w14:paraId="37D6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14:paraId="0389E536">
            <w:pPr>
              <w:pStyle w:val="7"/>
              <w:shd w:val="clear" w:color="auto" w:fill="FFFFFF"/>
              <w:spacing w:line="0" w:lineRule="atLeast"/>
              <w:jc w:val="center"/>
              <w:rPr>
                <w:rFonts w:hint="eastAsia" w:eastAsia="宋体"/>
                <w:b/>
                <w:bCs/>
                <w:color w:val="auto"/>
                <w:highlight w:val="none"/>
                <w:lang w:eastAsia="zh-CN"/>
              </w:rPr>
            </w:pPr>
            <w:r>
              <w:rPr>
                <w:rFonts w:hint="eastAsia"/>
                <w:b/>
                <w:bCs/>
                <w:color w:val="auto"/>
                <w:highlight w:val="none"/>
                <w:lang w:val="en-US" w:eastAsia="zh-CN"/>
              </w:rPr>
              <w:t>标项</w:t>
            </w:r>
          </w:p>
        </w:tc>
        <w:tc>
          <w:tcPr>
            <w:tcW w:w="3270" w:type="dxa"/>
            <w:tcBorders>
              <w:top w:val="single" w:color="auto" w:sz="4" w:space="0"/>
              <w:left w:val="single" w:color="auto" w:sz="4" w:space="0"/>
              <w:bottom w:val="single" w:color="auto" w:sz="4" w:space="0"/>
              <w:right w:val="single" w:color="auto" w:sz="4" w:space="0"/>
            </w:tcBorders>
            <w:noWrap w:val="0"/>
            <w:vAlign w:val="center"/>
          </w:tcPr>
          <w:p w14:paraId="544DE331">
            <w:pPr>
              <w:pStyle w:val="7"/>
              <w:shd w:val="clear" w:color="auto" w:fill="FFFFFF"/>
              <w:spacing w:line="0" w:lineRule="atLeast"/>
              <w:jc w:val="center"/>
              <w:rPr>
                <w:b/>
                <w:bCs/>
                <w:color w:val="auto"/>
                <w:highlight w:val="none"/>
              </w:rPr>
            </w:pPr>
            <w:r>
              <w:rPr>
                <w:rFonts w:hint="eastAsia"/>
                <w:b/>
                <w:bCs/>
                <w:color w:val="auto"/>
                <w:highlight w:val="none"/>
              </w:rPr>
              <w:t>内容</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B5A8EBE">
            <w:pPr>
              <w:pStyle w:val="7"/>
              <w:shd w:val="clear" w:color="auto" w:fill="FFFFFF"/>
              <w:spacing w:line="0" w:lineRule="atLeast"/>
              <w:jc w:val="center"/>
              <w:rPr>
                <w:rFonts w:hint="eastAsia"/>
                <w:b/>
                <w:bCs/>
                <w:color w:val="auto"/>
                <w:highlight w:val="none"/>
                <w:lang w:val="en-US" w:eastAsia="zh-CN"/>
              </w:rPr>
            </w:pPr>
            <w:r>
              <w:rPr>
                <w:rFonts w:hint="eastAsia"/>
                <w:b/>
                <w:bCs/>
                <w:color w:val="auto"/>
                <w:highlight w:val="none"/>
                <w:lang w:val="en-US" w:eastAsia="zh-CN"/>
              </w:rPr>
              <w:t>招标规模</w:t>
            </w:r>
          </w:p>
          <w:p w14:paraId="60E204AE">
            <w:pPr>
              <w:pStyle w:val="7"/>
              <w:shd w:val="clear" w:color="auto" w:fill="FFFFFF"/>
              <w:spacing w:line="0" w:lineRule="atLeast"/>
              <w:jc w:val="center"/>
              <w:rPr>
                <w:b/>
                <w:bCs/>
                <w:color w:val="auto"/>
                <w:highlight w:val="none"/>
              </w:rPr>
            </w:pPr>
            <w:r>
              <w:rPr>
                <w:rFonts w:hint="eastAsia"/>
                <w:b/>
                <w:bCs/>
                <w:color w:val="auto"/>
                <w:highlight w:val="none"/>
              </w:rPr>
              <w:t>(万元)</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5F74CA5F">
            <w:pPr>
              <w:pStyle w:val="7"/>
              <w:shd w:val="clear" w:color="auto" w:fill="FFFFFF"/>
              <w:spacing w:line="0" w:lineRule="atLeast"/>
              <w:jc w:val="center"/>
              <w:rPr>
                <w:rFonts w:hint="default" w:eastAsia="宋体"/>
                <w:b/>
                <w:bCs/>
                <w:color w:val="auto"/>
                <w:highlight w:val="none"/>
                <w:lang w:val="en-US" w:eastAsia="zh-CN"/>
              </w:rPr>
            </w:pPr>
            <w:r>
              <w:rPr>
                <w:rFonts w:hint="eastAsia"/>
                <w:b/>
                <w:bCs/>
                <w:color w:val="auto"/>
                <w:highlight w:val="none"/>
                <w:lang w:val="en-US" w:eastAsia="zh-CN"/>
              </w:rPr>
              <w:t>定期存款期限</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771B51CE">
            <w:pPr>
              <w:pStyle w:val="7"/>
              <w:shd w:val="clear" w:color="auto" w:fill="FFFFFF"/>
              <w:spacing w:line="0" w:lineRule="atLeast"/>
              <w:jc w:val="center"/>
              <w:rPr>
                <w:rFonts w:hint="default" w:eastAsia="宋体"/>
                <w:b/>
                <w:bCs/>
                <w:color w:val="auto"/>
                <w:highlight w:val="none"/>
                <w:lang w:val="en-US" w:eastAsia="zh-CN"/>
              </w:rPr>
            </w:pPr>
            <w:r>
              <w:rPr>
                <w:rFonts w:hint="eastAsia"/>
                <w:b/>
                <w:bCs/>
                <w:color w:val="auto"/>
                <w:highlight w:val="none"/>
                <w:lang w:val="en-US" w:eastAsia="zh-CN"/>
              </w:rPr>
              <w:t>银行数量</w:t>
            </w:r>
          </w:p>
        </w:tc>
      </w:tr>
      <w:tr w14:paraId="06BD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14:paraId="4C0C986C">
            <w:pPr>
              <w:pStyle w:val="7"/>
              <w:shd w:val="clear" w:color="auto" w:fill="FFFFFF"/>
              <w:spacing w:line="0" w:lineRule="atLeast"/>
              <w:jc w:val="center"/>
              <w:rPr>
                <w:color w:val="auto"/>
                <w:highlight w:val="none"/>
              </w:rPr>
            </w:pPr>
            <w:r>
              <w:rPr>
                <w:color w:val="auto"/>
                <w:highlight w:val="none"/>
              </w:rPr>
              <w:t>1</w:t>
            </w:r>
          </w:p>
        </w:tc>
        <w:tc>
          <w:tcPr>
            <w:tcW w:w="3270" w:type="dxa"/>
            <w:tcBorders>
              <w:top w:val="single" w:color="auto" w:sz="4" w:space="0"/>
              <w:left w:val="single" w:color="auto" w:sz="4" w:space="0"/>
              <w:bottom w:val="single" w:color="auto" w:sz="4" w:space="0"/>
              <w:right w:val="single" w:color="auto" w:sz="4" w:space="0"/>
            </w:tcBorders>
            <w:noWrap w:val="0"/>
            <w:vAlign w:val="center"/>
          </w:tcPr>
          <w:p w14:paraId="094A5A77">
            <w:pPr>
              <w:pStyle w:val="7"/>
              <w:shd w:val="clear" w:color="auto" w:fill="FFFFFF"/>
              <w:spacing w:line="0" w:lineRule="atLeast"/>
              <w:jc w:val="center"/>
              <w:rPr>
                <w:rFonts w:hint="default" w:eastAsia="宋体"/>
                <w:color w:val="auto"/>
                <w:highlight w:val="none"/>
                <w:lang w:val="en-US" w:eastAsia="zh-CN"/>
              </w:rPr>
            </w:pPr>
            <w:r>
              <w:rPr>
                <w:rFonts w:hint="eastAsia"/>
                <w:color w:val="auto"/>
                <w:highlight w:val="none"/>
                <w:lang w:eastAsia="zh-CN"/>
              </w:rPr>
              <w:t>衢州市衢江区人民法院2025年</w:t>
            </w:r>
            <w:r>
              <w:rPr>
                <w:rFonts w:hint="eastAsia"/>
                <w:color w:val="auto"/>
                <w:highlight w:val="none"/>
                <w:lang w:val="en-US" w:eastAsia="zh-CN"/>
              </w:rPr>
              <w:t>执行款专户竞争性存放</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5B90F951">
            <w:pPr>
              <w:pStyle w:val="7"/>
              <w:shd w:val="clear" w:color="auto" w:fill="FFFFFF"/>
              <w:spacing w:line="0" w:lineRule="atLeast"/>
              <w:jc w:val="center"/>
              <w:rPr>
                <w:rFonts w:hint="default" w:eastAsia="宋体"/>
                <w:color w:val="auto"/>
                <w:highlight w:val="none"/>
                <w:lang w:val="en-US" w:eastAsia="zh-CN"/>
              </w:rPr>
            </w:pPr>
            <w:r>
              <w:rPr>
                <w:rFonts w:hint="eastAsia"/>
                <w:color w:val="auto"/>
                <w:highlight w:val="none"/>
                <w:lang w:val="en-US" w:eastAsia="zh-CN"/>
              </w:rPr>
              <w:t>500</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166B500E">
            <w:pPr>
              <w:pStyle w:val="7"/>
              <w:shd w:val="clear" w:color="auto" w:fill="FFFFFF"/>
              <w:spacing w:line="0" w:lineRule="atLeast"/>
              <w:jc w:val="center"/>
              <w:rPr>
                <w:rFonts w:hint="eastAsia"/>
                <w:color w:val="auto"/>
                <w:highlight w:val="none"/>
                <w:lang w:val="en-US" w:eastAsia="zh-CN"/>
              </w:rPr>
            </w:pPr>
            <w:r>
              <w:rPr>
                <w:rFonts w:hint="eastAsia"/>
                <w:color w:val="auto"/>
                <w:highlight w:val="none"/>
                <w:lang w:val="en-US" w:eastAsia="zh-CN"/>
              </w:rPr>
              <w:t>1年</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1C70F394">
            <w:pPr>
              <w:pStyle w:val="7"/>
              <w:shd w:val="clear" w:color="auto" w:fill="FFFFFF"/>
              <w:spacing w:line="0" w:lineRule="atLeast"/>
              <w:jc w:val="center"/>
              <w:rPr>
                <w:rFonts w:hint="default" w:eastAsia="宋体"/>
                <w:color w:val="auto"/>
                <w:highlight w:val="none"/>
                <w:lang w:val="en-US" w:eastAsia="zh-CN"/>
              </w:rPr>
            </w:pPr>
            <w:r>
              <w:rPr>
                <w:rFonts w:hint="eastAsia"/>
                <w:color w:val="auto"/>
                <w:highlight w:val="none"/>
                <w:lang w:val="en-US" w:eastAsia="zh-CN"/>
              </w:rPr>
              <w:t>1家</w:t>
            </w:r>
          </w:p>
        </w:tc>
      </w:tr>
      <w:tr w14:paraId="4D40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14:paraId="648894F0">
            <w:pPr>
              <w:pStyle w:val="7"/>
              <w:shd w:val="clear" w:color="auto" w:fill="FFFFFF"/>
              <w:spacing w:line="0" w:lineRule="atLeast"/>
              <w:jc w:val="center"/>
              <w:rPr>
                <w:rFonts w:hint="eastAsia" w:eastAsia="宋体"/>
                <w:color w:val="auto"/>
                <w:highlight w:val="none"/>
                <w:lang w:val="en-US" w:eastAsia="zh-CN"/>
              </w:rPr>
            </w:pPr>
            <w:r>
              <w:rPr>
                <w:rFonts w:hint="eastAsia"/>
                <w:color w:val="auto"/>
                <w:highlight w:val="none"/>
                <w:lang w:val="en-US" w:eastAsia="zh-CN"/>
              </w:rPr>
              <w:t>2</w:t>
            </w:r>
          </w:p>
        </w:tc>
        <w:tc>
          <w:tcPr>
            <w:tcW w:w="3270" w:type="dxa"/>
            <w:tcBorders>
              <w:top w:val="single" w:color="auto" w:sz="4" w:space="0"/>
              <w:left w:val="single" w:color="auto" w:sz="4" w:space="0"/>
              <w:bottom w:val="single" w:color="auto" w:sz="4" w:space="0"/>
              <w:right w:val="single" w:color="auto" w:sz="4" w:space="0"/>
            </w:tcBorders>
            <w:noWrap w:val="0"/>
            <w:vAlign w:val="center"/>
          </w:tcPr>
          <w:p w14:paraId="2C63873D">
            <w:pPr>
              <w:pStyle w:val="7"/>
              <w:shd w:val="clear" w:color="auto" w:fill="FFFFFF"/>
              <w:spacing w:line="0" w:lineRule="atLeast"/>
              <w:jc w:val="center"/>
              <w:rPr>
                <w:rFonts w:hint="eastAsia"/>
                <w:color w:val="auto"/>
                <w:highlight w:val="none"/>
                <w:lang w:eastAsia="zh-CN"/>
              </w:rPr>
            </w:pPr>
            <w:r>
              <w:rPr>
                <w:rFonts w:hint="eastAsia"/>
                <w:color w:val="auto"/>
                <w:highlight w:val="none"/>
                <w:lang w:eastAsia="zh-CN"/>
              </w:rPr>
              <w:t>衢州市衢江区人民法院2025年</w:t>
            </w:r>
            <w:r>
              <w:rPr>
                <w:rFonts w:hint="eastAsia"/>
                <w:color w:val="auto"/>
                <w:highlight w:val="none"/>
                <w:lang w:val="en-US" w:eastAsia="zh-CN"/>
              </w:rPr>
              <w:t>调解款专户竞争性存放</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C98D621">
            <w:pPr>
              <w:pStyle w:val="7"/>
              <w:shd w:val="clear" w:color="auto" w:fill="FFFFFF"/>
              <w:spacing w:line="0" w:lineRule="atLeast"/>
              <w:jc w:val="center"/>
              <w:rPr>
                <w:rFonts w:hint="default" w:eastAsia="宋体"/>
                <w:color w:val="auto"/>
                <w:highlight w:val="none"/>
                <w:lang w:val="en-US" w:eastAsia="zh-CN"/>
              </w:rPr>
            </w:pPr>
            <w:r>
              <w:rPr>
                <w:rFonts w:hint="eastAsia"/>
                <w:color w:val="auto"/>
                <w:highlight w:val="none"/>
                <w:lang w:val="en-US" w:eastAsia="zh-CN"/>
              </w:rPr>
              <w:t>500</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4AA01674">
            <w:pPr>
              <w:pStyle w:val="7"/>
              <w:shd w:val="clear" w:color="auto" w:fill="FFFFFF"/>
              <w:spacing w:line="0" w:lineRule="atLeast"/>
              <w:jc w:val="center"/>
              <w:rPr>
                <w:rFonts w:hint="eastAsia"/>
                <w:color w:val="auto"/>
                <w:highlight w:val="none"/>
                <w:lang w:val="en-US" w:eastAsia="zh-CN"/>
              </w:rPr>
            </w:pPr>
            <w:r>
              <w:rPr>
                <w:rFonts w:hint="eastAsia"/>
                <w:color w:val="auto"/>
                <w:highlight w:val="none"/>
                <w:lang w:val="en-US" w:eastAsia="zh-CN"/>
              </w:rPr>
              <w:t>1年</w:t>
            </w:r>
          </w:p>
        </w:tc>
        <w:tc>
          <w:tcPr>
            <w:tcW w:w="1808" w:type="dxa"/>
            <w:tcBorders>
              <w:top w:val="single" w:color="auto" w:sz="4" w:space="0"/>
              <w:left w:val="single" w:color="auto" w:sz="4" w:space="0"/>
              <w:bottom w:val="single" w:color="auto" w:sz="4" w:space="0"/>
              <w:right w:val="single" w:color="auto" w:sz="4" w:space="0"/>
            </w:tcBorders>
            <w:noWrap w:val="0"/>
            <w:vAlign w:val="center"/>
          </w:tcPr>
          <w:p w14:paraId="48EE2C55">
            <w:pPr>
              <w:pStyle w:val="7"/>
              <w:shd w:val="clear" w:color="auto" w:fill="FFFFFF"/>
              <w:spacing w:line="0" w:lineRule="atLeast"/>
              <w:jc w:val="center"/>
              <w:rPr>
                <w:rFonts w:hint="default" w:eastAsia="宋体"/>
                <w:color w:val="auto"/>
                <w:highlight w:val="none"/>
                <w:lang w:val="en-US" w:eastAsia="zh-CN"/>
              </w:rPr>
            </w:pPr>
            <w:r>
              <w:rPr>
                <w:rFonts w:hint="eastAsia"/>
                <w:color w:val="auto"/>
                <w:highlight w:val="none"/>
                <w:lang w:val="en-US" w:eastAsia="zh-CN"/>
              </w:rPr>
              <w:t>1家</w:t>
            </w:r>
          </w:p>
        </w:tc>
      </w:tr>
    </w:tbl>
    <w:p w14:paraId="26D49E1D">
      <w:pPr>
        <w:pStyle w:val="6"/>
        <w:keepNext w:val="0"/>
        <w:keepLines w:val="0"/>
        <w:pageBreakBefore w:val="0"/>
        <w:kinsoku/>
        <w:wordWrap/>
        <w:overflowPunct/>
        <w:topLinePunct w:val="0"/>
        <w:autoSpaceDE/>
        <w:autoSpaceDN/>
        <w:bidi w:val="0"/>
        <w:adjustRightInd/>
        <w:snapToGrid w:val="0"/>
        <w:spacing w:line="360" w:lineRule="auto"/>
        <w:ind w:left="0" w:firstLine="482" w:firstLineChars="200"/>
        <w:textAlignment w:val="auto"/>
        <w:rPr>
          <w:rFonts w:hint="eastAsia"/>
          <w:b/>
          <w:bCs/>
          <w:color w:val="auto"/>
          <w:sz w:val="24"/>
          <w:highlight w:val="none"/>
        </w:rPr>
      </w:pPr>
      <w:r>
        <w:rPr>
          <w:rFonts w:hint="eastAsia"/>
          <w:b/>
          <w:bCs/>
          <w:color w:val="auto"/>
          <w:sz w:val="24"/>
          <w:highlight w:val="none"/>
        </w:rPr>
        <w:t>备注：上述金额为计划资金额度，最终根据单位实际资金量进行存放。</w:t>
      </w:r>
    </w:p>
    <w:p w14:paraId="3BA846AF">
      <w:pPr>
        <w:pStyle w:val="6"/>
        <w:keepNext w:val="0"/>
        <w:keepLines w:val="0"/>
        <w:pageBreakBefore w:val="0"/>
        <w:kinsoku/>
        <w:wordWrap/>
        <w:overflowPunct/>
        <w:topLinePunct w:val="0"/>
        <w:autoSpaceDE/>
        <w:autoSpaceDN/>
        <w:bidi w:val="0"/>
        <w:adjustRightInd/>
        <w:snapToGrid w:val="0"/>
        <w:spacing w:line="360" w:lineRule="auto"/>
        <w:ind w:left="0" w:firstLine="482" w:firstLineChars="200"/>
        <w:textAlignment w:val="auto"/>
        <w:rPr>
          <w:rFonts w:hint="eastAsia"/>
          <w:b/>
          <w:color w:val="auto"/>
          <w:sz w:val="24"/>
          <w:highlight w:val="none"/>
        </w:rPr>
      </w:pPr>
      <w:r>
        <w:rPr>
          <w:rFonts w:hint="eastAsia"/>
          <w:b/>
          <w:color w:val="auto"/>
          <w:sz w:val="24"/>
          <w:highlight w:val="none"/>
        </w:rPr>
        <w:t>五、投标人资格条件：</w:t>
      </w:r>
    </w:p>
    <w:p w14:paraId="4B5DA36A">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在中华人民共和国境内依法设立的国有商业银行、股份制商业银行、邮政储蓄银行、城市商业银行、农村信用合作联社、农村商业银行、农村合作银行及政策性银行，每家银行有且只能有一个主体参与投标，银行参与投标应同时具备以下条件： </w:t>
      </w:r>
    </w:p>
    <w:p w14:paraId="7A5F4FC8">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1.在衢江区设有分支机构；</w:t>
      </w:r>
    </w:p>
    <w:p w14:paraId="0AFF0002">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2.依法开展经营活动，内部管理机制健全，具有较强的风险控制能力，近3年内在经营活动中无重大违法违规记录，未发生金融风险及重大违约事件；</w:t>
      </w:r>
    </w:p>
    <w:p w14:paraId="19F9551E">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3.纳入监管评级的银行，人民银行上年度综合评价应达到B级及以上（支行以市分行综合评价为准；新设立的银行因未参与评级的，当年暂不作要求）。</w:t>
      </w:r>
    </w:p>
    <w:p w14:paraId="169D3F04">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4.本项目谢绝联合体投标，投标机构与最终资金存放的网点须一致，不得转移。</w:t>
      </w:r>
    </w:p>
    <w:p w14:paraId="0267CAB5">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2" w:firstLineChars="200"/>
        <w:jc w:val="left"/>
        <w:textAlignment w:val="auto"/>
        <w:rPr>
          <w:rFonts w:hint="eastAsia" w:ascii="宋体" w:hAnsi="宋体"/>
          <w:b/>
          <w:color w:val="auto"/>
          <w:sz w:val="24"/>
          <w:highlight w:val="none"/>
        </w:rPr>
      </w:pPr>
      <w:r>
        <w:rPr>
          <w:rFonts w:hint="eastAsia" w:ascii="宋体" w:hAnsi="宋体"/>
          <w:b/>
          <w:color w:val="auto"/>
          <w:sz w:val="24"/>
          <w:highlight w:val="none"/>
          <w:lang w:val="en-US" w:eastAsia="zh-CN"/>
        </w:rPr>
        <w:t>六</w:t>
      </w:r>
      <w:r>
        <w:rPr>
          <w:rFonts w:hint="eastAsia" w:ascii="宋体" w:hAnsi="宋体"/>
          <w:b/>
          <w:color w:val="auto"/>
          <w:sz w:val="24"/>
          <w:highlight w:val="none"/>
        </w:rPr>
        <w:t>、报名时间、地点、招标文件获取方式等：</w:t>
      </w:r>
    </w:p>
    <w:p w14:paraId="2BC3551C">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（一）报名时间：</w:t>
      </w:r>
      <w:r>
        <w:rPr>
          <w:rFonts w:hint="eastAsia" w:ascii="宋体" w:hAnsi="宋体" w:cs="宋体"/>
          <w:color w:val="auto"/>
          <w:kern w:val="0"/>
          <w:sz w:val="24"/>
          <w:szCs w:val="24"/>
          <w:highlight w:val="none"/>
          <w:lang w:val="en-US" w:eastAsia="zh-CN" w:bidi="ar-SA"/>
        </w:rPr>
        <w:t>2024年12</w:t>
      </w:r>
      <w:r>
        <w:rPr>
          <w:rFonts w:hint="eastAsia" w:ascii="宋体" w:hAnsi="宋体" w:eastAsia="宋体" w:cs="宋体"/>
          <w:color w:val="auto"/>
          <w:kern w:val="0"/>
          <w:sz w:val="24"/>
          <w:szCs w:val="24"/>
          <w:highlight w:val="none"/>
          <w:lang w:val="en-US" w:eastAsia="zh-CN" w:bidi="ar-SA"/>
        </w:rPr>
        <w:t>月</w:t>
      </w:r>
      <w:r>
        <w:rPr>
          <w:rFonts w:hint="eastAsia" w:ascii="宋体" w:hAnsi="宋体" w:cs="宋体"/>
          <w:color w:val="auto"/>
          <w:kern w:val="0"/>
          <w:sz w:val="24"/>
          <w:szCs w:val="24"/>
          <w:highlight w:val="none"/>
          <w:lang w:val="en-US" w:eastAsia="zh-CN" w:bidi="ar-SA"/>
        </w:rPr>
        <w:t>31</w:t>
      </w:r>
      <w:r>
        <w:rPr>
          <w:rFonts w:hint="eastAsia" w:ascii="宋体" w:hAnsi="宋体" w:eastAsia="宋体" w:cs="宋体"/>
          <w:color w:val="auto"/>
          <w:kern w:val="0"/>
          <w:sz w:val="24"/>
          <w:szCs w:val="24"/>
          <w:highlight w:val="none"/>
          <w:lang w:val="en-US" w:eastAsia="zh-CN" w:bidi="ar-SA"/>
        </w:rPr>
        <w:t>日至</w:t>
      </w:r>
      <w:r>
        <w:rPr>
          <w:rFonts w:hint="eastAsia" w:ascii="宋体" w:hAnsi="宋体" w:cs="宋体"/>
          <w:color w:val="auto"/>
          <w:kern w:val="0"/>
          <w:sz w:val="24"/>
          <w:szCs w:val="24"/>
          <w:highlight w:val="none"/>
          <w:lang w:val="en-US" w:eastAsia="zh-CN" w:bidi="ar-SA"/>
        </w:rPr>
        <w:t>2025年1</w:t>
      </w:r>
      <w:r>
        <w:rPr>
          <w:rFonts w:hint="eastAsia" w:ascii="宋体" w:hAnsi="宋体" w:eastAsia="宋体" w:cs="宋体"/>
          <w:color w:val="auto"/>
          <w:kern w:val="0"/>
          <w:sz w:val="24"/>
          <w:szCs w:val="24"/>
          <w:highlight w:val="none"/>
          <w:lang w:val="en-US" w:eastAsia="zh-CN" w:bidi="ar-SA"/>
        </w:rPr>
        <w:t>月</w:t>
      </w:r>
      <w:r>
        <w:rPr>
          <w:rFonts w:hint="eastAsia" w:ascii="宋体" w:hAnsi="宋体" w:cs="宋体"/>
          <w:color w:val="auto"/>
          <w:kern w:val="0"/>
          <w:sz w:val="24"/>
          <w:szCs w:val="24"/>
          <w:highlight w:val="none"/>
          <w:lang w:val="en-US" w:eastAsia="zh-CN" w:bidi="ar-SA"/>
        </w:rPr>
        <w:t>9</w:t>
      </w:r>
      <w:r>
        <w:rPr>
          <w:rFonts w:hint="eastAsia" w:ascii="宋体" w:hAnsi="宋体" w:eastAsia="宋体" w:cs="宋体"/>
          <w:color w:val="auto"/>
          <w:kern w:val="0"/>
          <w:sz w:val="24"/>
          <w:szCs w:val="24"/>
          <w:highlight w:val="none"/>
          <w:lang w:val="en-US" w:eastAsia="zh-CN" w:bidi="ar-SA"/>
        </w:rPr>
        <w:t>日，每天上午00:00至12:00，下午12:00至23:59（北京时间）</w:t>
      </w:r>
    </w:p>
    <w:p w14:paraId="6F214A97">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报名方式：本项目实行网上报名，不接受现场报名。投标人登录“政采云”平台（http://login.zcygov.cn）进入公款竞争性存放招标系统（以下简称“招标系统”），在竞标项目内按规定进行报名。第一步：选择本期招标项目，第二步：填写报名信息。报名成功后联系人会收到短信通知，逾期报名视为未报名。</w:t>
      </w:r>
    </w:p>
    <w:p w14:paraId="2E77A477">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2" w:firstLineChars="200"/>
        <w:jc w:val="left"/>
        <w:textAlignment w:val="auto"/>
        <w:rPr>
          <w:rFonts w:hint="eastAsia" w:ascii="宋体" w:hAnsi="宋体"/>
          <w:b/>
          <w:color w:val="auto"/>
          <w:sz w:val="24"/>
          <w:highlight w:val="none"/>
        </w:rPr>
      </w:pPr>
      <w:r>
        <w:rPr>
          <w:rFonts w:hint="eastAsia" w:ascii="宋体" w:hAnsi="宋体"/>
          <w:b/>
          <w:color w:val="auto"/>
          <w:sz w:val="24"/>
          <w:highlight w:val="none"/>
          <w:lang w:val="en-US" w:eastAsia="zh-CN"/>
        </w:rPr>
        <w:t>七</w:t>
      </w:r>
      <w:r>
        <w:rPr>
          <w:rFonts w:hint="eastAsia" w:ascii="宋体" w:hAnsi="宋体"/>
          <w:b/>
          <w:color w:val="auto"/>
          <w:sz w:val="24"/>
          <w:highlight w:val="none"/>
        </w:rPr>
        <w:t>、投标文件提交（上传）</w:t>
      </w:r>
    </w:p>
    <w:p w14:paraId="23D20174">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截止时间：</w:t>
      </w:r>
      <w:r>
        <w:rPr>
          <w:rFonts w:hint="eastAsia" w:ascii="宋体" w:hAnsi="宋体" w:cs="宋体"/>
          <w:color w:val="auto"/>
          <w:kern w:val="0"/>
          <w:sz w:val="24"/>
          <w:szCs w:val="24"/>
          <w:highlight w:val="none"/>
          <w:lang w:val="en-US" w:eastAsia="zh-CN" w:bidi="ar-SA"/>
        </w:rPr>
        <w:t>2025年1月9日14</w:t>
      </w:r>
      <w:r>
        <w:rPr>
          <w:rFonts w:hint="eastAsia" w:ascii="宋体" w:hAnsi="宋体" w:eastAsia="宋体" w:cs="宋体"/>
          <w:color w:val="auto"/>
          <w:kern w:val="0"/>
          <w:sz w:val="24"/>
          <w:szCs w:val="24"/>
          <w:highlight w:val="none"/>
          <w:lang w:val="en-US" w:eastAsia="zh-CN" w:bidi="ar-SA"/>
        </w:rPr>
        <w:t>:30:00（北京时间）前将电子投标文件通过“政采云电子投标客户端”上传至政采云平台，逾期上传的将予以拒收。</w:t>
      </w:r>
    </w:p>
    <w:p w14:paraId="08EB153A">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地点：“政府采购云平台（http://login.zcygov.cn）”在线提交（上传）。</w:t>
      </w:r>
    </w:p>
    <w:p w14:paraId="6FA3F3A0">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2" w:firstLineChars="200"/>
        <w:jc w:val="left"/>
        <w:textAlignment w:val="auto"/>
        <w:rPr>
          <w:rFonts w:hint="eastAsia" w:ascii="宋体" w:hAnsi="宋体"/>
          <w:b/>
          <w:color w:val="auto"/>
          <w:sz w:val="24"/>
          <w:highlight w:val="none"/>
        </w:rPr>
      </w:pPr>
      <w:r>
        <w:rPr>
          <w:rFonts w:hint="eastAsia" w:ascii="宋体" w:hAnsi="宋体"/>
          <w:b/>
          <w:color w:val="auto"/>
          <w:sz w:val="24"/>
          <w:highlight w:val="none"/>
          <w:lang w:val="en-US" w:eastAsia="zh-CN"/>
        </w:rPr>
        <w:t>八</w:t>
      </w:r>
      <w:r>
        <w:rPr>
          <w:rFonts w:hint="eastAsia" w:ascii="宋体" w:hAnsi="宋体"/>
          <w:b/>
          <w:color w:val="auto"/>
          <w:sz w:val="24"/>
          <w:highlight w:val="none"/>
        </w:rPr>
        <w:t>、投标文件开启</w:t>
      </w:r>
    </w:p>
    <w:p w14:paraId="69987DB6">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开标时间：</w:t>
      </w:r>
      <w:r>
        <w:rPr>
          <w:rFonts w:hint="eastAsia" w:ascii="宋体" w:hAnsi="宋体" w:cs="宋体"/>
          <w:color w:val="auto"/>
          <w:kern w:val="0"/>
          <w:sz w:val="24"/>
          <w:szCs w:val="24"/>
          <w:highlight w:val="none"/>
          <w:lang w:val="en-US" w:eastAsia="zh-CN" w:bidi="ar-SA"/>
        </w:rPr>
        <w:t>2025年1月9日14</w:t>
      </w:r>
      <w:r>
        <w:rPr>
          <w:rFonts w:hint="eastAsia" w:ascii="宋体" w:hAnsi="宋体" w:eastAsia="宋体" w:cs="宋体"/>
          <w:color w:val="auto"/>
          <w:kern w:val="0"/>
          <w:sz w:val="24"/>
          <w:szCs w:val="24"/>
          <w:highlight w:val="none"/>
          <w:lang w:val="en-US" w:eastAsia="zh-CN" w:bidi="ar-SA"/>
        </w:rPr>
        <w:t>:30:00（北京时间）</w:t>
      </w:r>
    </w:p>
    <w:p w14:paraId="03B58DAA">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地点：衢州市衢江区公共资源交易中心</w:t>
      </w:r>
      <w:r>
        <w:rPr>
          <w:rFonts w:hint="eastAsia" w:ascii="宋体" w:hAnsi="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bidi="ar-SA"/>
        </w:rPr>
        <w:t>号</w:t>
      </w:r>
      <w:r>
        <w:rPr>
          <w:rFonts w:hint="eastAsia" w:ascii="宋体" w:hAnsi="宋体" w:cs="宋体"/>
          <w:color w:val="auto"/>
          <w:kern w:val="0"/>
          <w:sz w:val="24"/>
          <w:szCs w:val="24"/>
          <w:highlight w:val="none"/>
          <w:lang w:val="en-US" w:eastAsia="zh-CN" w:bidi="ar-SA"/>
        </w:rPr>
        <w:t>评</w:t>
      </w:r>
      <w:r>
        <w:rPr>
          <w:rFonts w:hint="eastAsia" w:ascii="宋体" w:hAnsi="宋体" w:eastAsia="宋体" w:cs="宋体"/>
          <w:color w:val="auto"/>
          <w:kern w:val="0"/>
          <w:sz w:val="24"/>
          <w:szCs w:val="24"/>
          <w:highlight w:val="none"/>
          <w:lang w:val="en-US" w:eastAsia="zh-CN" w:bidi="ar-SA"/>
        </w:rPr>
        <w:t>标厅（衢州市衢江区振兴东路268号</w:t>
      </w:r>
      <w:r>
        <w:rPr>
          <w:rFonts w:hint="eastAsia" w:ascii="宋体" w:hAnsi="宋体" w:cs="宋体"/>
          <w:color w:val="auto"/>
          <w:kern w:val="0"/>
          <w:sz w:val="24"/>
          <w:szCs w:val="24"/>
          <w:highlight w:val="none"/>
          <w:lang w:val="en-US" w:eastAsia="zh-CN" w:bidi="ar-SA"/>
        </w:rPr>
        <w:t>五</w:t>
      </w:r>
      <w:r>
        <w:rPr>
          <w:rFonts w:hint="eastAsia" w:ascii="宋体" w:hAnsi="宋体" w:eastAsia="宋体" w:cs="宋体"/>
          <w:color w:val="auto"/>
          <w:kern w:val="0"/>
          <w:sz w:val="24"/>
          <w:szCs w:val="24"/>
          <w:highlight w:val="none"/>
          <w:lang w:val="en-US" w:eastAsia="zh-CN" w:bidi="ar-SA"/>
        </w:rPr>
        <w:t>楼）同时在“政府采购云平台（http://login.zcygov.cn）”在线开、评标。</w:t>
      </w:r>
    </w:p>
    <w:p w14:paraId="3EAC5608">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本项目实行网上电子开评标，投标人代表无需到达开标现场。</w:t>
      </w:r>
    </w:p>
    <w:p w14:paraId="0180F978">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2" w:firstLineChars="200"/>
        <w:jc w:val="left"/>
        <w:textAlignment w:val="auto"/>
        <w:rPr>
          <w:rFonts w:hint="eastAsia" w:ascii="宋体" w:hAnsi="宋体"/>
          <w:b/>
          <w:color w:val="auto"/>
          <w:sz w:val="24"/>
          <w:highlight w:val="none"/>
        </w:rPr>
      </w:pPr>
      <w:r>
        <w:rPr>
          <w:rFonts w:hint="eastAsia" w:ascii="宋体" w:hAnsi="宋体"/>
          <w:b/>
          <w:color w:val="auto"/>
          <w:sz w:val="24"/>
          <w:highlight w:val="none"/>
          <w:lang w:val="en-US" w:eastAsia="zh-CN"/>
        </w:rPr>
        <w:t>九</w:t>
      </w:r>
      <w:r>
        <w:rPr>
          <w:rFonts w:hint="eastAsia" w:ascii="宋体" w:hAnsi="宋体"/>
          <w:b/>
          <w:color w:val="auto"/>
          <w:sz w:val="24"/>
          <w:highlight w:val="none"/>
        </w:rPr>
        <w:t>、公告发布媒体</w:t>
      </w:r>
    </w:p>
    <w:p w14:paraId="6DE3BD5C">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浙江政府采购网（https://zfcg.czt.zj.gov.cn/）--非政府招标公告--公款竞争性存放公告栏、</w:t>
      </w:r>
      <w:r>
        <w:rPr>
          <w:rFonts w:hint="eastAsia" w:ascii="宋体" w:hAnsi="宋体" w:cs="宋体"/>
          <w:color w:val="auto"/>
          <w:kern w:val="0"/>
          <w:sz w:val="24"/>
          <w:szCs w:val="24"/>
          <w:highlight w:val="none"/>
          <w:lang w:val="en-US" w:eastAsia="zh-CN" w:bidi="ar-SA"/>
        </w:rPr>
        <w:t>衢州市衢江区人民法院门户网站</w:t>
      </w:r>
      <w:r>
        <w:rPr>
          <w:rFonts w:hint="eastAsia" w:ascii="宋体" w:hAnsi="宋体" w:eastAsia="宋体" w:cs="宋体"/>
          <w:color w:val="auto"/>
          <w:kern w:val="0"/>
          <w:sz w:val="24"/>
          <w:szCs w:val="24"/>
          <w:highlight w:val="none"/>
          <w:lang w:val="en-US" w:eastAsia="zh-CN" w:bidi="ar-SA"/>
        </w:rPr>
        <w:t>。</w:t>
      </w:r>
    </w:p>
    <w:p w14:paraId="251DACA7">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2" w:firstLineChars="200"/>
        <w:jc w:val="left"/>
        <w:textAlignment w:val="auto"/>
        <w:rPr>
          <w:rFonts w:hint="eastAsia" w:ascii="宋体" w:hAnsi="宋体"/>
          <w:b/>
          <w:color w:val="auto"/>
          <w:sz w:val="24"/>
          <w:highlight w:val="none"/>
        </w:rPr>
      </w:pPr>
      <w:r>
        <w:rPr>
          <w:rFonts w:hint="eastAsia" w:ascii="宋体" w:hAnsi="宋体"/>
          <w:b/>
          <w:color w:val="auto"/>
          <w:sz w:val="24"/>
          <w:highlight w:val="none"/>
        </w:rPr>
        <w:t>十、质疑和投诉</w:t>
      </w:r>
    </w:p>
    <w:p w14:paraId="469B8B74">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公告期限为5个工作日，投标人认为招标文件使自己的权益受到损害的，可以自获取招标文件之日或者招标公告期限届满之日（公告期限届满后获取招标文件的，以公告期限届满之日为准）起2个工作日内，以书面形式向招标人和招标代理机构提出质疑。质疑投标人对招标人、招标代理机构的答复不满意或者招标人、招标代理机构未在规定的时间内作出答复的，可以在答复期满后2个工作日内向行政主管部门和同级纪检、监察部门投诉。</w:t>
      </w:r>
    </w:p>
    <w:p w14:paraId="09F8827E">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2" w:firstLineChars="200"/>
        <w:jc w:val="left"/>
        <w:textAlignment w:val="auto"/>
        <w:rPr>
          <w:rFonts w:hint="eastAsia" w:ascii="宋体" w:hAnsi="宋体" w:eastAsia="宋体"/>
          <w:b/>
          <w:color w:val="auto"/>
          <w:sz w:val="24"/>
          <w:highlight w:val="none"/>
          <w:lang w:val="en-US" w:eastAsia="zh-CN"/>
        </w:rPr>
      </w:pPr>
      <w:r>
        <w:rPr>
          <w:rFonts w:hint="eastAsia" w:ascii="宋体" w:hAnsi="宋体"/>
          <w:b/>
          <w:color w:val="auto"/>
          <w:sz w:val="24"/>
          <w:highlight w:val="none"/>
        </w:rPr>
        <w:t>十</w:t>
      </w:r>
      <w:r>
        <w:rPr>
          <w:rFonts w:hint="eastAsia" w:ascii="宋体" w:hAnsi="宋体"/>
          <w:b/>
          <w:color w:val="auto"/>
          <w:sz w:val="24"/>
          <w:highlight w:val="none"/>
          <w:lang w:val="en-US" w:eastAsia="zh-CN"/>
        </w:rPr>
        <w:t>一</w:t>
      </w:r>
      <w:r>
        <w:rPr>
          <w:rFonts w:hint="eastAsia" w:ascii="宋体" w:hAnsi="宋体"/>
          <w:b/>
          <w:color w:val="auto"/>
          <w:sz w:val="24"/>
          <w:highlight w:val="none"/>
        </w:rPr>
        <w:t>、</w:t>
      </w:r>
      <w:r>
        <w:rPr>
          <w:rFonts w:hint="eastAsia" w:ascii="宋体" w:hAnsi="宋体"/>
          <w:b/>
          <w:color w:val="auto"/>
          <w:sz w:val="24"/>
          <w:highlight w:val="none"/>
          <w:lang w:val="en-US" w:eastAsia="zh-CN"/>
        </w:rPr>
        <w:t>其他</w:t>
      </w:r>
    </w:p>
    <w:p w14:paraId="00BF50F4">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1.未经报名登记并获取采购文件的供应商参与本项目投标，将被拒绝。</w:t>
      </w:r>
    </w:p>
    <w:p w14:paraId="3184C53A">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2.在线投标响应（电子投标）说明：</w:t>
      </w:r>
    </w:p>
    <w:p w14:paraId="106C76D2">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投标人应在投标报名前提交政府采购云平台（https://www.zcygov.cn/）银行入驻申请并成为公款存放正式供应商，否则无法参与线上公款竞争性存放业务。如未进行银行入驻，请登录以下网址https://middle.zcygov.cn/v-settle-front/registry?settleCategory=1&amp;entranceType=50（银行入驻注册页面）完成入驻。</w:t>
      </w:r>
    </w:p>
    <w:p w14:paraId="04754EBC">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(2).网上电子投标具体流程详见操作指南：登录政府采购云平台（https://www.zcygov.cn/），从首页-服务中心-帮助文档-公款竞争性存放-操作流程，查看文档。</w:t>
      </w:r>
    </w:p>
    <w:p w14:paraId="214C023E">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(3).若对项目采购电子交易系统操作有疑问，可登录政采云（https://www.zcygov.cn/），点击右侧咨询小采，获取采小蜜智能服务管家帮助，或拨打政采云服务热线400-881-7190获取热线服务帮助。</w:t>
      </w:r>
    </w:p>
    <w:p w14:paraId="183C002A">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2" w:firstLineChars="200"/>
        <w:jc w:val="left"/>
        <w:textAlignment w:val="auto"/>
        <w:rPr>
          <w:rFonts w:hint="eastAsia"/>
          <w:b/>
          <w:color w:val="auto"/>
          <w:sz w:val="24"/>
          <w:highlight w:val="none"/>
        </w:rPr>
      </w:pPr>
      <w:r>
        <w:rPr>
          <w:rFonts w:hint="eastAsia" w:ascii="宋体" w:hAnsi="宋体"/>
          <w:b/>
          <w:color w:val="auto"/>
          <w:sz w:val="24"/>
          <w:highlight w:val="none"/>
          <w:lang w:val="en-US" w:eastAsia="zh-CN"/>
        </w:rPr>
        <w:t>十二、</w:t>
      </w:r>
      <w:r>
        <w:rPr>
          <w:rFonts w:hint="eastAsia"/>
          <w:b/>
          <w:color w:val="auto"/>
          <w:sz w:val="24"/>
          <w:highlight w:val="none"/>
        </w:rPr>
        <w:t>联系方式：</w:t>
      </w:r>
    </w:p>
    <w:p w14:paraId="2034ED15">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1.招标人：衢州市衢江区人民法院</w:t>
      </w:r>
    </w:p>
    <w:p w14:paraId="4CE83948">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招标单位联系人：胡女士            电话：0570-3678927</w:t>
      </w:r>
    </w:p>
    <w:p w14:paraId="441C0B73">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地址：衢州市衢江区信安东路41号</w:t>
      </w:r>
    </w:p>
    <w:p w14:paraId="50718B7D">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2.招标代理机构：衢州广泽商务秘书有限责任公司 </w:t>
      </w:r>
    </w:p>
    <w:p w14:paraId="2C310FE6">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地址：衢州市衢江区东迹大道198号东城华庭420室</w:t>
      </w:r>
    </w:p>
    <w:p w14:paraId="071B5286">
      <w:pPr>
        <w:keepNext w:val="0"/>
        <w:keepLines w:val="0"/>
        <w:pageBreakBefore w:val="0"/>
        <w:widowControl/>
        <w:tabs>
          <w:tab w:val="left" w:pos="284"/>
          <w:tab w:val="left" w:pos="851"/>
        </w:tabs>
        <w:kinsoku/>
        <w:wordWrap/>
        <w:overflowPunct/>
        <w:topLinePunct w:val="0"/>
        <w:autoSpaceDE/>
        <w:autoSpaceDN/>
        <w:bidi w:val="0"/>
        <w:adjustRightInd/>
        <w:spacing w:line="360" w:lineRule="auto"/>
        <w:ind w:left="0" w:firstLine="480" w:firstLineChars="200"/>
        <w:jc w:val="lef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联系人：余女士                   电话：0570-2933128</w:t>
      </w:r>
    </w:p>
    <w:p w14:paraId="3D5C39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Thousand"/>
      <w:pStyle w:val="5"/>
      <w:suff w:val="nothing"/>
      <w:lvlText w:val="第%1章"/>
      <w:lvlJc w:val="left"/>
      <w:pPr>
        <w:ind w:left="0" w:firstLine="0"/>
      </w:pPr>
    </w:lvl>
    <w:lvl w:ilvl="1" w:tentative="0">
      <w:start w:val="1"/>
      <w:numFmt w:val="decimal"/>
      <w:lvlText w:val="%1.%2"/>
      <w:lvlJc w:val="left"/>
      <w:pPr>
        <w:tabs>
          <w:tab w:val="left" w:pos="576"/>
        </w:tabs>
        <w:ind w:left="2776" w:hanging="576"/>
      </w:pPr>
      <w:rPr>
        <w:rFonts w:hint="eastAsia"/>
      </w:rPr>
    </w:lvl>
    <w:lvl w:ilvl="2" w:tentative="0">
      <w:start w:val="1"/>
      <w:numFmt w:val="decimal"/>
      <w:lvlText w:val="%1.%2.%3"/>
      <w:lvlJc w:val="left"/>
      <w:pPr>
        <w:tabs>
          <w:tab w:val="left" w:pos="720"/>
        </w:tabs>
        <w:ind w:left="2920" w:hanging="720"/>
      </w:pPr>
      <w:rPr>
        <w:rFonts w:hint="eastAsia"/>
      </w:rPr>
    </w:lvl>
    <w:lvl w:ilvl="3" w:tentative="0">
      <w:start w:val="1"/>
      <w:numFmt w:val="decimal"/>
      <w:lvlText w:val="%1.%2.%3.%4"/>
      <w:lvlJc w:val="left"/>
      <w:pPr>
        <w:tabs>
          <w:tab w:val="left" w:pos="864"/>
        </w:tabs>
        <w:ind w:left="3064" w:hanging="864"/>
      </w:pPr>
      <w:rPr>
        <w:rFonts w:hint="eastAsia"/>
      </w:rPr>
    </w:lvl>
    <w:lvl w:ilvl="4" w:tentative="0">
      <w:start w:val="1"/>
      <w:numFmt w:val="decimal"/>
      <w:lvlText w:val="%1.%2.%3.%4.%5"/>
      <w:lvlJc w:val="left"/>
      <w:pPr>
        <w:tabs>
          <w:tab w:val="left" w:pos="1008"/>
        </w:tabs>
        <w:ind w:left="3208" w:hanging="1008"/>
      </w:pPr>
      <w:rPr>
        <w:rFonts w:hint="eastAsia"/>
      </w:rPr>
    </w:lvl>
    <w:lvl w:ilvl="5" w:tentative="0">
      <w:start w:val="1"/>
      <w:numFmt w:val="decimal"/>
      <w:lvlText w:val="%1.%2.%3.%4.%5.%6"/>
      <w:lvlJc w:val="left"/>
      <w:pPr>
        <w:tabs>
          <w:tab w:val="left" w:pos="1152"/>
        </w:tabs>
        <w:ind w:left="3352" w:hanging="1152"/>
      </w:pPr>
      <w:rPr>
        <w:rFonts w:hint="eastAsia"/>
      </w:rPr>
    </w:lvl>
    <w:lvl w:ilvl="6" w:tentative="0">
      <w:start w:val="1"/>
      <w:numFmt w:val="decimal"/>
      <w:lvlText w:val="%1.%2.%3.%4.%5.%6.%7"/>
      <w:lvlJc w:val="left"/>
      <w:pPr>
        <w:tabs>
          <w:tab w:val="left" w:pos="1296"/>
        </w:tabs>
        <w:ind w:left="3496" w:hanging="1296"/>
      </w:pPr>
      <w:rPr>
        <w:rFonts w:hint="eastAsia"/>
      </w:rPr>
    </w:lvl>
    <w:lvl w:ilvl="7" w:tentative="0">
      <w:start w:val="1"/>
      <w:numFmt w:val="decimal"/>
      <w:lvlText w:val="%1.%2.%3.%4.%5.%6.%7.%8"/>
      <w:lvlJc w:val="left"/>
      <w:pPr>
        <w:tabs>
          <w:tab w:val="left" w:pos="1440"/>
        </w:tabs>
        <w:ind w:left="3640" w:hanging="1440"/>
      </w:pPr>
      <w:rPr>
        <w:rFonts w:hint="eastAsia"/>
      </w:rPr>
    </w:lvl>
    <w:lvl w:ilvl="8" w:tentative="0">
      <w:start w:val="1"/>
      <w:numFmt w:val="decimal"/>
      <w:lvlText w:val="%1.%2.%3.%4.%5.%6.%7.%8.%9"/>
      <w:lvlJc w:val="left"/>
      <w:pPr>
        <w:tabs>
          <w:tab w:val="left" w:pos="1584"/>
        </w:tabs>
        <w:ind w:left="3784" w:hanging="1584"/>
      </w:pPr>
      <w:rPr>
        <w:rFonts w:hint="eastAsia"/>
      </w:rPr>
    </w:lvl>
  </w:abstractNum>
  <w:abstractNum w:abstractNumId="1">
    <w:nsid w:val="074054F6"/>
    <w:multiLevelType w:val="multilevel"/>
    <w:tmpl w:val="074054F6"/>
    <w:lvl w:ilvl="0" w:tentative="0">
      <w:start w:val="1"/>
      <w:numFmt w:val="decimal"/>
      <w:pStyle w:val="2"/>
      <w:lvlText w:val="第%1章"/>
      <w:lvlJc w:val="left"/>
      <w:pPr>
        <w:tabs>
          <w:tab w:val="left" w:pos="432"/>
        </w:tabs>
        <w:ind w:left="2632" w:hanging="432"/>
      </w:pPr>
      <w:rPr>
        <w:rFonts w:hint="eastAsia"/>
      </w:rPr>
    </w:lvl>
    <w:lvl w:ilvl="1" w:tentative="0">
      <w:start w:val="1"/>
      <w:numFmt w:val="decimal"/>
      <w:lvlText w:val="%1.%2"/>
      <w:lvlJc w:val="left"/>
      <w:pPr>
        <w:tabs>
          <w:tab w:val="left" w:pos="576"/>
        </w:tabs>
        <w:ind w:left="2776" w:hanging="576"/>
      </w:pPr>
      <w:rPr>
        <w:rFonts w:hint="eastAsia"/>
      </w:rPr>
    </w:lvl>
    <w:lvl w:ilvl="2" w:tentative="0">
      <w:start w:val="1"/>
      <w:numFmt w:val="decimal"/>
      <w:lvlText w:val="%1.%2.%3"/>
      <w:lvlJc w:val="left"/>
      <w:pPr>
        <w:tabs>
          <w:tab w:val="left" w:pos="720"/>
        </w:tabs>
        <w:ind w:left="2920" w:hanging="720"/>
      </w:pPr>
      <w:rPr>
        <w:rFonts w:hint="eastAsia"/>
      </w:rPr>
    </w:lvl>
    <w:lvl w:ilvl="3" w:tentative="0">
      <w:start w:val="1"/>
      <w:numFmt w:val="decimal"/>
      <w:lvlText w:val="%1.%2.%3.%4"/>
      <w:lvlJc w:val="left"/>
      <w:pPr>
        <w:tabs>
          <w:tab w:val="left" w:pos="864"/>
        </w:tabs>
        <w:ind w:left="3064" w:hanging="864"/>
      </w:pPr>
      <w:rPr>
        <w:rFonts w:hint="eastAsia"/>
      </w:rPr>
    </w:lvl>
    <w:lvl w:ilvl="4" w:tentative="0">
      <w:start w:val="1"/>
      <w:numFmt w:val="decimal"/>
      <w:lvlText w:val="%1.%2.%3.%4.%5"/>
      <w:lvlJc w:val="left"/>
      <w:pPr>
        <w:tabs>
          <w:tab w:val="left" w:pos="1008"/>
        </w:tabs>
        <w:ind w:left="3208" w:hanging="1008"/>
      </w:pPr>
      <w:rPr>
        <w:rFonts w:hint="eastAsia"/>
      </w:rPr>
    </w:lvl>
    <w:lvl w:ilvl="5" w:tentative="0">
      <w:start w:val="1"/>
      <w:numFmt w:val="decimal"/>
      <w:lvlText w:val="%1.%2.%3.%4.%5.%6"/>
      <w:lvlJc w:val="left"/>
      <w:pPr>
        <w:tabs>
          <w:tab w:val="left" w:pos="1152"/>
        </w:tabs>
        <w:ind w:left="3352" w:hanging="1152"/>
      </w:pPr>
      <w:rPr>
        <w:rFonts w:hint="eastAsia"/>
      </w:rPr>
    </w:lvl>
    <w:lvl w:ilvl="6" w:tentative="0">
      <w:start w:val="1"/>
      <w:numFmt w:val="decimal"/>
      <w:lvlText w:val="%1.%2.%3.%4.%5.%6.%7"/>
      <w:lvlJc w:val="left"/>
      <w:pPr>
        <w:tabs>
          <w:tab w:val="left" w:pos="1296"/>
        </w:tabs>
        <w:ind w:left="3496" w:hanging="1296"/>
      </w:pPr>
      <w:rPr>
        <w:rFonts w:hint="eastAsia"/>
      </w:rPr>
    </w:lvl>
    <w:lvl w:ilvl="7" w:tentative="0">
      <w:start w:val="1"/>
      <w:numFmt w:val="decimal"/>
      <w:lvlText w:val="%1.%2.%3.%4.%5.%6.%7.%8"/>
      <w:lvlJc w:val="left"/>
      <w:pPr>
        <w:tabs>
          <w:tab w:val="left" w:pos="1440"/>
        </w:tabs>
        <w:ind w:left="3640" w:hanging="1440"/>
      </w:pPr>
      <w:rPr>
        <w:rFonts w:hint="eastAsia"/>
      </w:rPr>
    </w:lvl>
    <w:lvl w:ilvl="8" w:tentative="0">
      <w:start w:val="1"/>
      <w:numFmt w:val="decimal"/>
      <w:lvlText w:val="%1.%2.%3.%4.%5.%6.%7.%8.%9"/>
      <w:lvlJc w:val="left"/>
      <w:pPr>
        <w:tabs>
          <w:tab w:val="left" w:pos="1584"/>
        </w:tabs>
        <w:ind w:left="3784" w:hanging="158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A582F"/>
    <w:rsid w:val="2FCA5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uiPriority w:val="0"/>
    <w:pPr>
      <w:keepNext/>
      <w:keepLines/>
      <w:numPr>
        <w:ilvl w:val="0"/>
        <w:numId w:val="1"/>
      </w:numPr>
      <w:spacing w:before="340" w:beforeLines="0" w:after="330" w:afterLines="0" w:line="578" w:lineRule="auto"/>
      <w:outlineLvl w:val="0"/>
    </w:pPr>
    <w:rPr>
      <w:rFonts w:ascii="Times New Roman" w:hAnsi="Times New Roman" w:eastAsia="宋体" w:cs="Times New Roman"/>
      <w:b/>
      <w:bCs/>
      <w:kern w:val="44"/>
      <w:sz w:val="44"/>
      <w:szCs w:val="4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Style1"/>
    <w:next w:val="3"/>
    <w:qFormat/>
    <w:uiPriority w:val="0"/>
    <w:pPr>
      <w:numPr>
        <w:ilvl w:val="0"/>
        <w:numId w:val="2"/>
      </w:numPr>
      <w:tabs>
        <w:tab w:val="left" w:pos="720"/>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line="360" w:lineRule="auto"/>
      <w:jc w:val="center"/>
    </w:pPr>
    <w:rPr>
      <w:rFonts w:ascii="Calibri" w:hAnsi="Calibri" w:eastAsia="宋体" w:cs="宋体"/>
      <w:b/>
      <w:kern w:val="24"/>
      <w:sz w:val="24"/>
      <w:lang w:val="en-GB" w:eastAsia="zh-CN" w:bidi="ar-SA"/>
    </w:rPr>
  </w:style>
  <w:style w:type="paragraph" w:customStyle="1" w:styleId="3">
    <w:name w:val="*正文"/>
    <w:basedOn w:val="4"/>
    <w:qFormat/>
    <w:uiPriority w:val="0"/>
    <w:pPr>
      <w:spacing w:line="480" w:lineRule="auto"/>
      <w:ind w:firstLine="200" w:firstLineChars="200"/>
    </w:pPr>
    <w:rPr>
      <w:rFonts w:ascii="Arial" w:hAnsi="Arial"/>
      <w:szCs w:val="24"/>
    </w:rPr>
  </w:style>
  <w:style w:type="paragraph" w:styleId="4">
    <w:name w:val="Normal Indent"/>
    <w:basedOn w:val="1"/>
    <w:qFormat/>
    <w:uiPriority w:val="0"/>
    <w:pPr>
      <w:ind w:firstLine="420" w:firstLineChars="200"/>
    </w:pPr>
    <w:rPr>
      <w:rFonts w:ascii="Times New Roman" w:hAnsi="Times New Roman" w:eastAsia="宋体" w:cs="Times New Roman"/>
      <w:sz w:val="28"/>
      <w:szCs w:val="20"/>
    </w:rPr>
  </w:style>
  <w:style w:type="paragraph" w:styleId="6">
    <w:name w:val="Plain Text"/>
    <w:basedOn w:val="1"/>
    <w:next w:val="1"/>
    <w:qFormat/>
    <w:uiPriority w:val="0"/>
    <w:rPr>
      <w:rFonts w:ascii="宋体" w:hAnsi="Courier New" w:eastAsia="宋体" w:cs="Courier New"/>
      <w:szCs w:val="21"/>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2024-12-31T04:55:00Z</dcterms:created>
  <dc:creator>yumeiqin</dc:creator>
  <cp:lastModifiedBy>yumeiqin</cp:lastModifiedBy>
  <dcterms:modified xsi:type="dcterms:W3CDTF">2024-12-31T04:59:33Z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2E7474A172DB4A00B8098FDB277EDB50_11</vt:lpwstr>
  </property>
  <property fmtid="{D5CDD505-2E9C-101B-9397-08002B2CF9AE}" pid="4" name="KSOTemplateDocerSaveRecord">
    <vt:lpwstr>eyJoZGlkIjoiYWQ3YjcxYzQ0NTI4ZTU3OWQ5ZDY3ODNjYmUwZTY1YTMiLCJ1c2VySWQiOiI0Mzc4MTY4ODMifQ==</vt:lpwstr>
  </property>
</Properties>
</file>